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880"/>
        <w:jc w:val="center"/>
        <w:rPr>
          <w:rFonts w:ascii="方正小标宋简体" w:eastAsia="方正小标宋简体"/>
          <w:sz w:val="44"/>
          <w:szCs w:val="44"/>
        </w:rPr>
      </w:pPr>
    </w:p>
    <w:p>
      <w:pPr>
        <w:pStyle w:val="7"/>
        <w:spacing w:line="580" w:lineRule="exact"/>
        <w:ind w:firstLine="440"/>
        <w:rPr>
          <w:rFonts w:ascii="方正小标宋简体" w:eastAsia="方正小标宋简体"/>
          <w:sz w:val="44"/>
          <w:szCs w:val="44"/>
        </w:rPr>
      </w:pPr>
    </w:p>
    <w:p>
      <w:pPr>
        <w:autoSpaceDE w:val="0"/>
        <w:autoSpaceDN w:val="0"/>
        <w:spacing w:line="580" w:lineRule="exact"/>
        <w:jc w:val="center"/>
        <w:rPr>
          <w:rFonts w:ascii="仿宋_GB2312" w:hAnsi="Times New Roman" w:eastAsia="仿宋_GB2312"/>
          <w:spacing w:val="-12"/>
          <w:szCs w:val="32"/>
        </w:rPr>
      </w:pPr>
    </w:p>
    <w:p>
      <w:pPr>
        <w:autoSpaceDE w:val="0"/>
        <w:autoSpaceDN w:val="0"/>
        <w:spacing w:line="580" w:lineRule="exact"/>
        <w:jc w:val="center"/>
        <w:rPr>
          <w:rFonts w:ascii="仿宋_GB2312" w:hAnsi="Times New Roman" w:eastAsia="仿宋_GB2312"/>
          <w:spacing w:val="-12"/>
          <w:szCs w:val="32"/>
        </w:rPr>
      </w:pPr>
    </w:p>
    <w:p>
      <w:pPr>
        <w:autoSpaceDE w:val="0"/>
        <w:autoSpaceDN w:val="0"/>
        <w:spacing w:line="580" w:lineRule="exact"/>
        <w:jc w:val="center"/>
        <w:rPr>
          <w:rFonts w:ascii="仿宋_GB2312" w:hAnsi="Times New Roman" w:eastAsia="仿宋_GB2312"/>
          <w:spacing w:val="-12"/>
          <w:szCs w:val="32"/>
        </w:rPr>
      </w:pPr>
    </w:p>
    <w:p>
      <w:pPr>
        <w:autoSpaceDE w:val="0"/>
        <w:autoSpaceDN w:val="0"/>
        <w:spacing w:line="580" w:lineRule="exact"/>
        <w:jc w:val="center"/>
        <w:rPr>
          <w:rFonts w:ascii="仿宋_GB2312" w:hAnsi="Times New Roman" w:eastAsia="仿宋_GB2312"/>
          <w:spacing w:val="-12"/>
          <w:szCs w:val="32"/>
        </w:rPr>
      </w:pPr>
    </w:p>
    <w:p>
      <w:pPr>
        <w:autoSpaceDE w:val="0"/>
        <w:autoSpaceDN w:val="0"/>
        <w:spacing w:line="580" w:lineRule="exact"/>
        <w:jc w:val="center"/>
        <w:rPr>
          <w:rFonts w:ascii="仿宋_GB2312" w:hAnsi="Times New Roman" w:eastAsia="仿宋_GB2312"/>
          <w:spacing w:val="-12"/>
          <w:szCs w:val="32"/>
        </w:rPr>
      </w:pPr>
    </w:p>
    <w:p>
      <w:pPr>
        <w:autoSpaceDE w:val="0"/>
        <w:autoSpaceDN w:val="0"/>
        <w:spacing w:line="580" w:lineRule="exact"/>
        <w:ind w:firstLine="320" w:firstLineChars="100"/>
        <w:jc w:val="left"/>
        <w:rPr>
          <w:rFonts w:ascii="仿宋_GB2312" w:hAnsi="Times New Roman" w:eastAsia="仿宋_GB2312"/>
          <w:bCs/>
          <w:kern w:val="0"/>
          <w:sz w:val="32"/>
          <w:szCs w:val="32"/>
        </w:rPr>
      </w:pPr>
      <w:r>
        <w:rPr>
          <w:rFonts w:hint="eastAsia" w:ascii="仿宋_GB2312" w:hAnsi="Times New Roman" w:eastAsia="仿宋_GB2312"/>
          <w:bCs/>
          <w:kern w:val="0"/>
          <w:sz w:val="32"/>
          <w:szCs w:val="32"/>
        </w:rPr>
        <w:t xml:space="preserve">海交法〔2021〕8号                       </w:t>
      </w:r>
      <w:r>
        <w:rPr>
          <w:rFonts w:hint="eastAsia" w:ascii="楷体_GB2312" w:hAnsi="Times New Roman" w:eastAsia="楷体_GB2312"/>
          <w:bCs/>
          <w:kern w:val="0"/>
          <w:sz w:val="32"/>
          <w:szCs w:val="32"/>
        </w:rPr>
        <w:t>签发人：</w:t>
      </w:r>
      <w:r>
        <w:rPr>
          <w:rFonts w:hint="eastAsia" w:ascii="仿宋_GB2312" w:hAnsi="Times New Roman" w:eastAsia="仿宋_GB2312"/>
          <w:bCs/>
          <w:kern w:val="0"/>
          <w:sz w:val="32"/>
          <w:szCs w:val="32"/>
        </w:rPr>
        <w:t>崔剑</w:t>
      </w:r>
    </w:p>
    <w:p>
      <w:pPr>
        <w:autoSpaceDE w:val="0"/>
        <w:autoSpaceDN w:val="0"/>
        <w:spacing w:line="580" w:lineRule="exact"/>
        <w:jc w:val="center"/>
        <w:rPr>
          <w:rFonts w:ascii="仿宋_GB2312" w:hAnsi="Times New Roman" w:eastAsia="仿宋_GB2312"/>
          <w:spacing w:val="-12"/>
          <w:szCs w:val="32"/>
        </w:rPr>
      </w:pPr>
    </w:p>
    <w:p>
      <w:pPr>
        <w:spacing w:line="7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海安市交通运输局关于</w:t>
      </w:r>
    </w:p>
    <w:p>
      <w:pPr>
        <w:spacing w:line="7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2021年度法治政府建设情况的报告</w:t>
      </w:r>
    </w:p>
    <w:p>
      <w:pPr>
        <w:spacing w:line="580" w:lineRule="exact"/>
        <w:ind w:firstLine="880" w:firstLineChars="200"/>
        <w:rPr>
          <w:rFonts w:ascii="方正小标宋简体" w:hAnsi="仿宋" w:eastAsia="方正小标宋简体" w:cs="仿宋"/>
          <w:sz w:val="44"/>
          <w:szCs w:val="44"/>
        </w:rPr>
      </w:pPr>
    </w:p>
    <w:p>
      <w:pPr>
        <w:adjustRightInd w:val="0"/>
        <w:snapToGrid w:val="0"/>
        <w:spacing w:line="580" w:lineRule="exact"/>
        <w:rPr>
          <w:rFonts w:ascii="仿宋_GB2312" w:hAnsi="仿宋" w:eastAsia="仿宋_GB2312" w:cs="仿宋"/>
          <w:sz w:val="32"/>
          <w:szCs w:val="32"/>
        </w:rPr>
      </w:pPr>
      <w:r>
        <w:rPr>
          <w:rFonts w:hint="eastAsia" w:ascii="仿宋_GB2312" w:hAnsi="仿宋" w:eastAsia="仿宋_GB2312" w:cs="仿宋"/>
          <w:sz w:val="32"/>
          <w:szCs w:val="32"/>
        </w:rPr>
        <w:t>市政府：</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2021年，市交通运输局法治政府建设工作坚持以习近平新时代中国特色社会主义思想为指导，全面贯彻党的十九大和十九届二中、三中、四中、五中、六中全会精神以及中央全面依法治国工作会议精神，深入学习贯彻落实习近平法治思想，紧紧围绕推进交通运输治理体系和治理能力现代化的总目标，全面落实市委、市政府和省、市交通运输部门加快推进法治政府部门建设的决策部署，全力抓好法治政府部门建设各项工作，为全市交通运输高质量发展提供强有力的法治保障。</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一、全面贯彻落实习近平法治思想，持续深化交通运输法治政府部门建设</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（一）深入贯彻落实习近平法治思想</w:t>
      </w:r>
      <w:r>
        <w:rPr>
          <w:rFonts w:hint="eastAsia" w:ascii="仿宋_GB2312" w:hAnsi="楷体" w:eastAsia="仿宋_GB2312" w:cs="仿宋"/>
          <w:sz w:val="32"/>
          <w:szCs w:val="32"/>
        </w:rPr>
        <w:t>。</w:t>
      </w:r>
      <w:r>
        <w:rPr>
          <w:rFonts w:hint="eastAsia" w:ascii="仿宋_GB2312" w:hAnsi="仿宋" w:eastAsia="仿宋_GB2312" w:cs="仿宋"/>
          <w:sz w:val="32"/>
          <w:szCs w:val="32"/>
        </w:rPr>
        <w:t>持之以恒抓好学习教育，把习近平法治思想作为党组中心组学习的重要内容，领导干部充分发挥领学促学作用，带动交通运输系统干部职工认真学习。结合交通运输系统实际抓好贯彻落实，把科学思想转化为法治建设工作实效。广泛开展习近平法治思想学习培训宣传，推动习近平法治思想深入人心、落地生根。</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（二）全面落实法治政府部门建设责任制。</w:t>
      </w:r>
      <w:r>
        <w:rPr>
          <w:rFonts w:hint="eastAsia" w:ascii="仿宋_GB2312" w:hAnsi="仿宋" w:eastAsia="仿宋_GB2312" w:cs="仿宋"/>
          <w:sz w:val="32"/>
          <w:szCs w:val="32"/>
        </w:rPr>
        <w:t>认真贯彻落实党政主要负责人履行推进法治政府部门建设第一责任人职责，根据局负责人的变动及时调整局法治建设工作领导小组，形成主要领导为第一责任人、分管领导具体负责、职能部门具体抓落实的工作机制，把法治建设工作作为一项重要的政治任务纳入交通发展的全局，摆上重要议事日程。召开党组会专题研究部署法治建设工作2次，将法治建设工作纳入2021年机关目标绩效考核，与业务工作同部署、同考核、同推进。</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二、全面依法履行交通运输管理职责</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（三）依法扎实履行执法职责。</w:t>
      </w:r>
      <w:r>
        <w:rPr>
          <w:rFonts w:hint="eastAsia" w:ascii="仿宋_GB2312" w:hAnsi="仿宋" w:eastAsia="仿宋_GB2312" w:cs="仿宋"/>
          <w:sz w:val="32"/>
          <w:szCs w:val="32"/>
        </w:rPr>
        <w:t>全面梳理、规范和精简执法事项，严格规范执法行为，强化综合行政执法队伍建设，积极稳妥推进改革落地见效。开展交通运输执法领域突出问题专项整治行动，坚持以问题为导向，以问题促整改，推动交通运输行政执法工作的提质增效。结合交通运输行业特点，在火车站、汽车站、南理工(海安校区)等重点区域开展非法营运客运市场专项整治活动 6次；定期巡查货运源头单位，充分利用称重和视频监控设施系统，做好超限超载车辆溯源管理，超限超载“一超四罚”案件查结30 起；严格实行抄告制度，向异地监管部门抄告各类违章38件；开展船舶碰撞桥梁隐患防治和无线电秩序专项整治，维护水上安全。全年共查结交通运输违法案件 307起，处罚金额76.72 万元，举行重大处罚案件听证会3次。</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（四）深入推进“放管服”改革。</w:t>
      </w:r>
      <w:r>
        <w:rPr>
          <w:rFonts w:hint="eastAsia" w:ascii="仿宋_GB2312" w:hAnsi="仿宋" w:eastAsia="仿宋_GB2312" w:cs="仿宋"/>
          <w:sz w:val="32"/>
          <w:szCs w:val="32"/>
        </w:rPr>
        <w:t>深化行政审批制度改革,坚持“放管结合”，做好已取消和下放行政审批事项的衔接落实；完善行政审批工作流程和管理规范，缩短审批办理时限，优化办事流程，提高办事效能，全面推行行政审批告知承诺制，全年办理行政许可845件；深入推广一体化在线交通运输政务服务平台，推进高频政务服务事项“跨省通办”、“省内通办”；推广应用交通运输电子证照，共发放各类电子证照759件；推动证明事项承诺制办理，全年通过证明事项承诺方式办理从业资格证换证25</w:t>
      </w:r>
      <w:bookmarkStart w:id="0" w:name="OLE_LINK2"/>
      <w:bookmarkStart w:id="1" w:name="OLE_LINK1"/>
      <w:r>
        <w:rPr>
          <w:rFonts w:hint="eastAsia" w:ascii="仿宋_GB2312" w:hAnsi="仿宋" w:eastAsia="仿宋_GB2312" w:cs="仿宋"/>
          <w:sz w:val="32"/>
          <w:szCs w:val="32"/>
        </w:rPr>
        <w:t>件；深入开展法治惠民工程，我局“保障农民工工资支付”入选海安十大法治惠民实事项目。</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（五）加强和规范事中事后监管</w:t>
      </w:r>
      <w:r>
        <w:rPr>
          <w:rFonts w:hint="eastAsia" w:ascii="仿宋_GB2312" w:hAnsi="楷体" w:eastAsia="仿宋_GB2312" w:cs="仿宋"/>
          <w:sz w:val="32"/>
          <w:szCs w:val="32"/>
        </w:rPr>
        <w:t>。</w:t>
      </w:r>
      <w:r>
        <w:rPr>
          <w:rFonts w:hint="eastAsia" w:ascii="仿宋_GB2312" w:hAnsi="仿宋" w:eastAsia="仿宋_GB2312" w:cs="仿宋"/>
          <w:sz w:val="32"/>
          <w:szCs w:val="32"/>
        </w:rPr>
        <w:t>进一步明确监管事项和职责，健全监管标准和规则，建立监管新体系、新机制，提高监管执法效能，发挥社会协同共治作用，深入推进“互联网+监管”执法，行政检查事项覆盖98项，覆盖率达90.74%。</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推行“双随机、一公开”工作，调整了“双随机、一公开”工作领导小组，动态调整执法人员库、检查对象库和检查事项清单，提高事中事后监管效能，通过双随机方式检查企业 33 家；加强“双随机、一公开”与社会信用体系衔接，将随机抽查结果纳入市场主体的社会信用记录，形成监管结果反馈闭环。</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（六）规范应用信用监管方式。</w:t>
      </w:r>
      <w:r>
        <w:rPr>
          <w:rFonts w:hint="eastAsia" w:ascii="仿宋_GB2312" w:hAnsi="仿宋" w:eastAsia="仿宋_GB2312" w:cs="仿宋"/>
          <w:sz w:val="32"/>
          <w:szCs w:val="32"/>
        </w:rPr>
        <w:t>高质量推进行业信用体系建设，加强信用工作宣传，2021年11月全系统开展信用宣传月活动。加快构建以信用为基础的新型监管机制，依法依规做好信用信息归集记录和信用数据报送工作，严格规范开展失信行为认定和依法依规实施失信惩戒，健全完善失信主体信用修复机制，提高行业信用体系建设法治化、规范化水平。</w:t>
      </w:r>
      <w:bookmarkEnd w:id="0"/>
      <w:bookmarkEnd w:id="1"/>
      <w:r>
        <w:rPr>
          <w:rFonts w:hint="eastAsia" w:ascii="仿宋_GB2312" w:hAnsi="仿宋" w:eastAsia="仿宋_GB2312" w:cs="仿宋"/>
          <w:sz w:val="32"/>
          <w:szCs w:val="32"/>
        </w:rPr>
        <w:t>对工程监管项目的设计、施工、监理、试验检测等单位进行履约考核，全年共对62个单位进行履约考核，其中26个单位履约考核等级为优，考核结果与企业的信用等级挂钩，对2020年度被评为B级的32家运输企业进行了重点检查。依法对严重违法失信超限超载运输车辆相关责任主体实施联合惩戒。</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三、推进行政决策科学化民主化法治化</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（七）强化重大行政决策规范化建设。</w:t>
      </w:r>
      <w:r>
        <w:rPr>
          <w:rFonts w:hint="eastAsia" w:ascii="仿宋_GB2312" w:hAnsi="仿宋" w:eastAsia="仿宋_GB2312" w:cs="仿宋"/>
          <w:sz w:val="32"/>
          <w:szCs w:val="32"/>
        </w:rPr>
        <w:t>严格按照公众参与、专家咨询、风险评估、合法性审查、集体讨论决定的重大行政决策程序，推进依法决策、科学决策、民主决策，2021年5月，我局对《巡游出租汽车运价改革》重大行政决策事项组织实施后评估工作。认真贯彻落实《重大行政决策程序暂行条例》，明确重大行政决策事项目录、标准，向社会公开并根据实际情况调整，</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（八）充分发挥法律顾问和公职律师队伍的作用。</w:t>
      </w:r>
      <w:r>
        <w:rPr>
          <w:rFonts w:hint="eastAsia" w:ascii="仿宋_GB2312" w:hAnsi="仿宋" w:eastAsia="仿宋_GB2312" w:cs="仿宋"/>
          <w:sz w:val="32"/>
          <w:szCs w:val="32"/>
        </w:rPr>
        <w:t>健全法律顾问管理和公职律师运行制度，进一步加大法律顾问和公职律师在重大行政决策事项、经济合同审查、政府信息公开回复及重大行政执法决定合法性审核、复议诉讼案件办理等领域的参与力度，法律顾问参与合同审查19次，代理民事诉讼案件1件、行政诉讼案件2件，参与交通相关法律事务16次，切实发挥好法律顾问和公职律师队伍的智囊、助手作用。</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四、强化严格规范公正文明执法</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楷体" w:eastAsia="仿宋_GB2312" w:cs="仿宋"/>
          <w:sz w:val="32"/>
          <w:szCs w:val="32"/>
        </w:rPr>
        <w:t>（</w:t>
      </w:r>
      <w:r>
        <w:rPr>
          <w:rFonts w:hint="eastAsia" w:ascii="楷体_GB2312" w:hAnsi="楷体" w:eastAsia="楷体_GB2312" w:cs="仿宋"/>
          <w:sz w:val="32"/>
          <w:szCs w:val="32"/>
        </w:rPr>
        <w:t>九）推进行政执法 “三项制度”。</w:t>
      </w:r>
      <w:r>
        <w:rPr>
          <w:rFonts w:hint="eastAsia" w:ascii="仿宋_GB2312" w:hAnsi="仿宋" w:eastAsia="仿宋_GB2312" w:cs="仿宋"/>
          <w:sz w:val="32"/>
          <w:szCs w:val="32"/>
        </w:rPr>
        <w:t>深入实施行政执法公示、执法全过程记录、重大执法决定法制审核行政执法 “三项制度”。一是充分利用政府网站、新闻媒体、公示窗口等有效载体，向社会公示执法主体、执法依据、执法结果及救济渠道，尤其将便民措施、轻微违法行为免罚事项、行政许可和行政处罚结果等人民群众普遍关心、涉及人民群众切身利益的事项作为执法公示的重点内容。二是建立健全了行政执法全过程记录制度，包括行政执法全过程信息收集、保存、管理、使用等工作制度。执法人员通过文字、音像等记录方式，对执法程序启动、调查取证、审查决定、送达执行、归档管理等行政执法全过程进行跟踪记录,通过纸质执法文书、移动执法记录仪、移动执法终端、询问调查室视音频监控落实执法全过程记录。三是建立和完善重大执法决定法制审核制度，梳理重大执法决定法制审核目录清单，从源头上把好关口，在日常审核上下功夫，对重大执法决定未经法制审核或者审核未通过不得作出决定，全年法制审核重大执法案件57件。</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（十）推进交通运输行政执法规范化建设</w:t>
      </w:r>
      <w:r>
        <w:rPr>
          <w:rFonts w:hint="eastAsia" w:ascii="仿宋_GB2312" w:hAnsi="楷体" w:eastAsia="仿宋_GB2312" w:cs="仿宋"/>
          <w:sz w:val="32"/>
          <w:szCs w:val="32"/>
        </w:rPr>
        <w:t>。</w:t>
      </w:r>
      <w:r>
        <w:rPr>
          <w:rFonts w:hint="eastAsia" w:ascii="仿宋_GB2312" w:hAnsi="仿宋" w:eastAsia="仿宋_GB2312" w:cs="仿宋"/>
          <w:sz w:val="32"/>
          <w:szCs w:val="32"/>
        </w:rPr>
        <w:t>一是建立现代执法理念，转变执法就是“处罚”的思维，坚持依法行政，做到敬畏法律、谨慎用权，为各类交通运输市场主体提供公平、稳定的市场环境。二是完善内部制约程序和制度，制定了《重大执法决定法制审核制度》、《行政处罚案件集体会审制度》、《进一步规范行政处罚流程的通知》，确保严格依照法定程序行使行政处罚权。三是按计划开展行政执法工作，根据现有执法人数，制定年度、月度行政执法工作计划，有序开展行政检查等工作，全年开展行政检查132次，下达责令整改通知书5份。四是加强包容审慎柔性执法，推行“首违不罚”“轻微免罚”，通过联合文化、交警等部门对重点客运车辆经营人开展集中约谈4次，引导市场主体依法依规开展生产经营活动。</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（十一）提升执法业务技能水平。</w:t>
      </w:r>
      <w:r>
        <w:rPr>
          <w:rFonts w:hint="eastAsia" w:ascii="仿宋_GB2312" w:hAnsi="仿宋" w:eastAsia="仿宋_GB2312" w:cs="仿宋"/>
          <w:sz w:val="32"/>
          <w:szCs w:val="32"/>
        </w:rPr>
        <w:t>开展行政执法人员公共法律知识、专门法律知识、新法律法规等专题培训。推行执法系统办案环节工作指导，2021年10月邀请海安市人民法院法官徐爱贤专题讲授新修订《行政处罚法》。先后选派10余人分别参加了南通市交通运输执法骨干培训班和海安市行政执法人员法律知识培训班，督促一线人员进一步熟练掌握业务技能。落实交通运输行政处罚、强制、许可案卷评查的制度，组织开展执法案卷评查，提升案卷制作质量，规范执法行为。</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（十二）严格执法人员资格管理。</w:t>
      </w:r>
      <w:r>
        <w:rPr>
          <w:rFonts w:hint="eastAsia" w:ascii="仿宋_GB2312" w:hAnsi="仿宋" w:eastAsia="仿宋_GB2312" w:cs="仿宋"/>
          <w:sz w:val="32"/>
          <w:szCs w:val="32"/>
        </w:rPr>
        <w:t>严格执法人员岗前培训要求，坚持行政执法人员持证上岗。完善执法人员在岗培训制度，规范执法辅助人员管理。严格执法证件的申领、审批、发放，结合交通运输综合执法改革，完善了执法主体和执法人员信息，组织77名交通行政执法人员进行全国统一行政执法证件换（申）领行政执法资格考试。</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五、强化行政权力制约监督</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（十三）健全社会监督和舆论监督机制。</w:t>
      </w:r>
      <w:r>
        <w:rPr>
          <w:rFonts w:hint="eastAsia" w:ascii="仿宋_GB2312" w:hAnsi="仿宋" w:eastAsia="仿宋_GB2312" w:cs="仿宋"/>
          <w:sz w:val="32"/>
          <w:szCs w:val="32"/>
        </w:rPr>
        <w:t>认真及时研究处理人大、政协提出的意见建议，承办市十六届人大五次会议代表建议46件，市政协十四届五次会议提案18件，建议提案完成率100%，满意率100%。提升政策宣传解读质量，创新政策宣传解读方式，充分利用政风热线、应急之声、法治热线等多媒体对政策进行宣传解读。强化各渠道舆情信息汇聚共享，提升舆情监测处置和分析研判能力，及时准确回应公众诉求，通过重点难点问题和共性诉求的解决推动行业管理与服务质量提升。</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（十四）强化行政执法监督</w:t>
      </w:r>
      <w:r>
        <w:rPr>
          <w:rFonts w:hint="eastAsia" w:ascii="仿宋_GB2312" w:hAnsi="楷体" w:eastAsia="仿宋_GB2312" w:cs="仿宋"/>
          <w:sz w:val="32"/>
          <w:szCs w:val="32"/>
        </w:rPr>
        <w:t>。</w:t>
      </w:r>
      <w:r>
        <w:rPr>
          <w:rFonts w:hint="eastAsia" w:ascii="仿宋_GB2312" w:hAnsi="仿宋" w:eastAsia="仿宋_GB2312" w:cs="仿宋"/>
          <w:sz w:val="32"/>
          <w:szCs w:val="32"/>
        </w:rPr>
        <w:t>建立健全行政执法日常检查监督机制，制定《海安市交通运输局内部人员过问案件的记录和责任追究规定》、《海安市交通运输局行政执法过错责任追究工作暂行规定》，推进执法全面质量管理，加强执法突出问题通报和执法质量管理结果运用，加强对执法重点领域、重点环节、重点事项的监督，突出安全生产执法、货车超限超载执法、污染防治执法等监督。组织开展行政执法人员法律知识测试、行政执法案卷评查等工作，强化行政执法监督，全面落实行政执法责任制。</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六、依法有效化解社会矛盾</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（十五）完善社会矛盾纠纷化解机制</w:t>
      </w:r>
      <w:r>
        <w:rPr>
          <w:rFonts w:hint="eastAsia" w:ascii="仿宋_GB2312" w:hAnsi="楷体" w:eastAsia="仿宋_GB2312" w:cs="仿宋"/>
          <w:sz w:val="32"/>
          <w:szCs w:val="32"/>
        </w:rPr>
        <w:t>。</w:t>
      </w:r>
      <w:r>
        <w:rPr>
          <w:rFonts w:hint="eastAsia" w:ascii="仿宋_GB2312" w:hAnsi="仿宋" w:eastAsia="仿宋_GB2312" w:cs="仿宋"/>
          <w:sz w:val="32"/>
          <w:szCs w:val="32"/>
        </w:rPr>
        <w:t xml:space="preserve">以群众需求为导向，发挥“12345”公共服务、数字城管、“96196”交通服务热线平台作用，找准服务群众的切入点和着力点，完善投诉问题的办理程序和督办机制，强化群众诉求办理的标准化和规范化，处置“12345”政府服务热线、交通“96196”服务热线、数字城管等各类群众诉求1749件，均能做到事事有回音、件件有落实。进一步拓宽和畅通信访渠道，解决交通运输高质量发展过程中各类矛盾问题，举一反三、从源头上解决问题，运用系统观念预防调处信访矛盾，运用法治思维、法治方式化解信访矛盾，提高风险预见预判能力，全力做好建党100周年期间的信访稳定工作。 </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（十六）依法办理行政复议和应诉案件</w:t>
      </w:r>
      <w:r>
        <w:rPr>
          <w:rFonts w:hint="eastAsia" w:ascii="仿宋_GB2312" w:hAnsi="楷体" w:eastAsia="仿宋_GB2312" w:cs="仿宋"/>
          <w:sz w:val="32"/>
          <w:szCs w:val="32"/>
        </w:rPr>
        <w:t>。</w:t>
      </w:r>
      <w:r>
        <w:rPr>
          <w:rFonts w:hint="eastAsia" w:ascii="仿宋_GB2312" w:hAnsi="仿宋" w:eastAsia="仿宋_GB2312" w:cs="仿宋"/>
          <w:sz w:val="32"/>
          <w:szCs w:val="32"/>
        </w:rPr>
        <w:t>支持人民法院依法审理行政案件，2021年我局发生行政诉讼案件2件，行政负责人均按规定出庭应诉；自觉接受配合监察机关开展监督工作，及时反馈相关建议采纳情况。深入开展以案释法，</w:t>
      </w:r>
      <w:bookmarkStart w:id="2" w:name="_GoBack"/>
      <w:bookmarkEnd w:id="2"/>
      <w:r>
        <w:rPr>
          <w:rFonts w:hint="eastAsia" w:ascii="仿宋_GB2312" w:hAnsi="仿宋" w:eastAsia="仿宋_GB2312" w:cs="仿宋"/>
          <w:sz w:val="32"/>
          <w:szCs w:val="32"/>
        </w:rPr>
        <w:t>提高基层行政复议和应诉能力，有效预防和化解矛盾纠纷。</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七、利用科技手段，提高法治工作效能</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加快行政执法信息化建设，充分发挥信息化手段对规范执法行为、严格执法管理，提高执法质量和效率的作用。</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（十七）实时推进政务信息公开</w:t>
      </w:r>
      <w:r>
        <w:rPr>
          <w:rFonts w:hint="eastAsia" w:ascii="仿宋_GB2312" w:hAnsi="楷体" w:eastAsia="仿宋_GB2312" w:cs="仿宋"/>
          <w:sz w:val="32"/>
          <w:szCs w:val="32"/>
        </w:rPr>
        <w:t>。</w:t>
      </w:r>
      <w:r>
        <w:rPr>
          <w:rFonts w:hint="eastAsia" w:ascii="仿宋_GB2312" w:hAnsi="仿宋" w:eastAsia="仿宋_GB2312" w:cs="仿宋"/>
          <w:sz w:val="32"/>
          <w:szCs w:val="32"/>
        </w:rPr>
        <w:t>实时准确进行信息公开，提高政府公信力。在海安门户网站主动公开政策文件及解读、交通公共服务、政务动态、行政权力清单、联系方式和监督方式，并实时公布行政许可和行政处罚信息，接受公众动态查询。认真做好依申请政府信息公开工作，依申请政府信息公开3件。利用“海安交通”微信公众号发布交通工作动态，有效提高工作透明度。</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（十八）建立科技执法中队。</w:t>
      </w:r>
      <w:r>
        <w:rPr>
          <w:rFonts w:hint="eastAsia" w:ascii="仿宋_GB2312" w:hAnsi="仿宋" w:eastAsia="仿宋_GB2312" w:cs="仿宋"/>
          <w:sz w:val="32"/>
          <w:szCs w:val="32"/>
        </w:rPr>
        <w:t>我局交通运输综合执法大队专门成立科技中队，大力推行利用科技手段进行非现场执法，安排专人对“两客一危”车辆运行过程进行实时监控，对“两客一危”车辆运输过程中的违法行为和安全隐患做到早发现早处理。</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（十九）实现网络执法数据共享</w:t>
      </w:r>
      <w:r>
        <w:rPr>
          <w:rFonts w:hint="eastAsia" w:ascii="仿宋_GB2312" w:hAnsi="楷体" w:eastAsia="仿宋_GB2312" w:cs="仿宋"/>
          <w:sz w:val="32"/>
          <w:szCs w:val="32"/>
        </w:rPr>
        <w:t>。</w:t>
      </w:r>
      <w:r>
        <w:rPr>
          <w:rFonts w:hint="eastAsia" w:ascii="仿宋_GB2312" w:hAnsi="仿宋" w:eastAsia="仿宋_GB2312" w:cs="仿宋"/>
          <w:sz w:val="32"/>
          <w:szCs w:val="32"/>
        </w:rPr>
        <w:t>在非法营运车辆整治方面，执法人员充分运用省厅交通综合执法掌上APP，及时掌握我市所属辖区内非法营运车辆的动态信息，有针对性的进行现场执法检查，利用智能化网络系统研判出8辆重点嫌疑非法营运客车，并进行核实和查处。在治理货物运输超载方面，执法人员直接通过省运政在线网络的定期数据推送，进行货物运输超载源头管理，实时掌握所属辖区内道路货物运输企业超载情况，有效增强对货物超载运输的源头监管。</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八、扎实开展法治宣传教育工作</w:t>
      </w:r>
    </w:p>
    <w:p>
      <w:pPr>
        <w:adjustRightInd w:val="0"/>
        <w:snapToGrid w:val="0"/>
        <w:spacing w:line="580" w:lineRule="exact"/>
        <w:ind w:firstLine="640" w:firstLineChars="200"/>
        <w:rPr>
          <w:rFonts w:ascii="仿宋_GB2312" w:hAnsi="楷体" w:eastAsia="仿宋_GB2312" w:cs="仿宋"/>
          <w:b/>
          <w:sz w:val="32"/>
          <w:szCs w:val="32"/>
        </w:rPr>
      </w:pPr>
      <w:r>
        <w:rPr>
          <w:rFonts w:hint="eastAsia" w:ascii="仿宋_GB2312" w:hAnsi="仿宋" w:eastAsia="仿宋_GB2312" w:cs="仿宋"/>
          <w:sz w:val="32"/>
          <w:szCs w:val="32"/>
        </w:rPr>
        <w:t>全面提升党员干部“知法、懂法、用法”水平，将加强法治理论学习摆在做好法治政府建设工作的突出位置，贯彻落实交通运输“八五”普法规划，推进普法与执法有机融合。</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（二十）制定年初普法计划</w:t>
      </w:r>
      <w:r>
        <w:rPr>
          <w:rFonts w:hint="eastAsia" w:ascii="仿宋_GB2312" w:hAnsi="楷体" w:eastAsia="仿宋_GB2312" w:cs="仿宋"/>
          <w:sz w:val="32"/>
          <w:szCs w:val="32"/>
        </w:rPr>
        <w:t>。</w:t>
      </w:r>
      <w:r>
        <w:rPr>
          <w:rFonts w:hint="eastAsia" w:ascii="仿宋_GB2312" w:hAnsi="仿宋" w:eastAsia="仿宋_GB2312" w:cs="仿宋"/>
          <w:sz w:val="32"/>
          <w:szCs w:val="32"/>
        </w:rPr>
        <w:t>根据“谁执法谁普法”的要求，年初制定普法计划，综合执法大队和相关职能部门，结合行业特点制定普法项目清单，普法项目清单具体包括普法内容、普法节点、完成时限、普法形式、联动单位等内容，扎实推动普法责任精准落实，将普法工作向纵深发展。</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（二十一）开展行业普法宣传</w:t>
      </w:r>
      <w:r>
        <w:rPr>
          <w:rFonts w:hint="eastAsia" w:ascii="仿宋_GB2312" w:hAnsi="楷体" w:eastAsia="仿宋_GB2312" w:cs="仿宋"/>
          <w:sz w:val="32"/>
          <w:szCs w:val="32"/>
        </w:rPr>
        <w:t>。</w:t>
      </w:r>
      <w:r>
        <w:rPr>
          <w:rFonts w:hint="eastAsia" w:ascii="仿宋_GB2312" w:hAnsi="仿宋" w:eastAsia="仿宋_GB2312" w:cs="仿宋"/>
          <w:sz w:val="32"/>
          <w:szCs w:val="32"/>
        </w:rPr>
        <w:t>一是紧扣交通运输疫情防控第一线的工作特点，围绕交通运输管理、防控物资运输保障、维护客运市场秩序、保障公路安全畅通等重点环节，大力开展法治宣传教育，做好疫情防控知识普及，增强自我防范意识和防护能力。二是紧密结合交通三大攻坚战、行业治理、安全生产、行政执法等交通重点任务，积极开展“路政宣传月”、“安全生产月”、“水上交通安全咨询日”“水上交通安全知识进企业进社区进校园”等主题法治宣传活动。三是按照各级部署，在火车站、汽车站、公交车、出租车等客货运集散地，利用宣传标语、电子显示屏等方式，对“民法典”、《行政处罚法》、《长江保护法》、《江苏省公路条例（修正案）》、《江苏省铁路安全管理条例》等新实施法律法规知识进行广泛宣传。</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（二十二）加强全系统干部职工普法学习</w:t>
      </w:r>
      <w:r>
        <w:rPr>
          <w:rFonts w:hint="eastAsia" w:ascii="仿宋_GB2312" w:hAnsi="楷体" w:eastAsia="仿宋_GB2312" w:cs="仿宋"/>
          <w:sz w:val="32"/>
          <w:szCs w:val="32"/>
        </w:rPr>
        <w:t>。</w:t>
      </w:r>
      <w:r>
        <w:rPr>
          <w:rFonts w:hint="eastAsia" w:ascii="仿宋_GB2312" w:hAnsi="仿宋" w:eastAsia="仿宋_GB2312" w:cs="仿宋"/>
          <w:sz w:val="32"/>
          <w:szCs w:val="32"/>
        </w:rPr>
        <w:t>全系统干部职工通过集中学习、自学、网络答题等形式认真学习习近平法治思想、民法典、宪法、常用法律法规等理论知识，参加了“中国普法”微信公众号“民法典”、“国家安全法律法规安全知识”等法治知识竞答，并进行了国家公职人员法律知识卷面考试。</w:t>
      </w:r>
    </w:p>
    <w:p>
      <w:pPr>
        <w:adjustRightInd w:val="0"/>
        <w:snapToGrid w:val="0"/>
        <w:spacing w:line="580" w:lineRule="exact"/>
        <w:ind w:firstLine="640" w:firstLineChars="200"/>
        <w:rPr>
          <w:rFonts w:ascii="黑体" w:hAnsi="黑体" w:eastAsia="黑体" w:cs="仿宋"/>
          <w:sz w:val="32"/>
          <w:szCs w:val="32"/>
        </w:rPr>
      </w:pPr>
      <w:r>
        <w:rPr>
          <w:rFonts w:hint="eastAsia" w:ascii="黑体" w:hAnsi="黑体" w:eastAsia="黑体" w:cs="仿宋"/>
          <w:sz w:val="32"/>
          <w:szCs w:val="32"/>
        </w:rPr>
        <w:t>九、存在问题及下阶段工作举措</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对照上级要求，我们认为在以下几个方面还存在一些问题：一是少数执法人员法治意识不强，在行政执法工作中不同程度的存在避重就轻、畏难执法情绪，缺少做事担当的勇气。二是服务企业、方便群众办事的工作举措落实的不够深入。三是执法质量有待进一步提高。执法人员在现场执法过程中的规范动作、文明用语等方面还有待提高。为此，我们在下阶段的工作中要以更高的标准、更严的要求、更实的举措，正视问题，不断加以改进。</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（一）高度重视，强化思想认识。</w:t>
      </w:r>
      <w:r>
        <w:rPr>
          <w:rFonts w:hint="eastAsia" w:ascii="仿宋_GB2312" w:hAnsi="仿宋" w:eastAsia="仿宋_GB2312" w:cs="仿宋"/>
          <w:sz w:val="32"/>
          <w:szCs w:val="32"/>
        </w:rPr>
        <w:t>充分认识法治政府部门建设工作的重要性，有组织、有计划、有步骤地稳步推进法治政府部门建设各项工作，切实履行好组织领导、指导协调和督促检查等职责，全力推进“法治交通”进程。</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（二）多措并举，提升执法水平</w:t>
      </w:r>
      <w:r>
        <w:rPr>
          <w:rFonts w:hint="eastAsia" w:ascii="仿宋_GB2312" w:hAnsi="楷体" w:eastAsia="仿宋_GB2312" w:cs="仿宋"/>
          <w:b/>
          <w:sz w:val="32"/>
          <w:szCs w:val="32"/>
        </w:rPr>
        <w:t>。</w:t>
      </w:r>
      <w:r>
        <w:rPr>
          <w:rFonts w:hint="eastAsia" w:ascii="仿宋_GB2312" w:hAnsi="仿宋" w:eastAsia="仿宋_GB2312" w:cs="仿宋"/>
          <w:sz w:val="32"/>
          <w:szCs w:val="32"/>
        </w:rPr>
        <w:t>加强领导干部和行政执法队伍建设，定期组织执法人员进行培训、强化执法行为监督、开展执法文书评查，进一步提高领导干部和行政人员依法行政的水平和能力。</w:t>
      </w:r>
    </w:p>
    <w:p>
      <w:pPr>
        <w:adjustRightInd w:val="0"/>
        <w:snapToGrid w:val="0"/>
        <w:spacing w:line="580" w:lineRule="exact"/>
        <w:ind w:firstLine="640" w:firstLineChars="200"/>
        <w:rPr>
          <w:rFonts w:ascii="仿宋_GB2312" w:hAnsi="仿宋" w:eastAsia="仿宋_GB2312" w:cs="仿宋"/>
          <w:sz w:val="32"/>
          <w:szCs w:val="32"/>
        </w:rPr>
      </w:pPr>
      <w:r>
        <w:rPr>
          <w:rFonts w:hint="eastAsia" w:ascii="楷体_GB2312" w:hAnsi="楷体" w:eastAsia="楷体_GB2312" w:cs="仿宋"/>
          <w:sz w:val="32"/>
          <w:szCs w:val="32"/>
        </w:rPr>
        <w:t>（三）强化监管，健全信用体系</w:t>
      </w:r>
      <w:r>
        <w:rPr>
          <w:rFonts w:hint="eastAsia" w:ascii="仿宋_GB2312" w:hAnsi="楷体" w:eastAsia="仿宋_GB2312" w:cs="仿宋"/>
          <w:b/>
          <w:sz w:val="32"/>
          <w:szCs w:val="32"/>
        </w:rPr>
        <w:t>。</w:t>
      </w:r>
      <w:r>
        <w:rPr>
          <w:rFonts w:hint="eastAsia" w:ascii="仿宋_GB2312" w:hAnsi="仿宋" w:eastAsia="仿宋_GB2312" w:cs="仿宋"/>
          <w:sz w:val="32"/>
          <w:szCs w:val="32"/>
        </w:rPr>
        <w:t>加快信用监管系统建设，以交通运输领域行政处罚信用信息为基础，对企业信用状况进行总体评级，根据信用评级情况，在监管方式、抽查比例和频次等方面采取差异化措施，落实联合奖惩，使行业守法守信者畅行天下、违法失信者寸步难行。</w:t>
      </w:r>
    </w:p>
    <w:p>
      <w:pPr>
        <w:adjustRightInd w:val="0"/>
        <w:snapToGrid w:val="0"/>
        <w:spacing w:line="580" w:lineRule="exact"/>
        <w:ind w:firstLine="640" w:firstLineChars="200"/>
        <w:jc w:val="right"/>
        <w:rPr>
          <w:rFonts w:ascii="仿宋_GB2312" w:hAnsi="仿宋" w:eastAsia="仿宋_GB2312" w:cs="仿宋"/>
          <w:sz w:val="32"/>
          <w:szCs w:val="32"/>
        </w:rPr>
      </w:pPr>
    </w:p>
    <w:p>
      <w:pPr>
        <w:adjustRightInd w:val="0"/>
        <w:snapToGrid w:val="0"/>
        <w:spacing w:line="580" w:lineRule="exact"/>
        <w:ind w:firstLine="640" w:firstLineChars="200"/>
        <w:jc w:val="right"/>
        <w:rPr>
          <w:rFonts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r>
        <w:rPr>
          <w:rFonts w:hint="eastAsia" w:ascii="仿宋_GB2312" w:hAnsi="仿宋" w:eastAsia="仿宋_GB2312" w:cs="仿宋"/>
          <w:sz w:val="32"/>
          <w:szCs w:val="32"/>
        </w:rPr>
        <w:t xml:space="preserve">                     海安市交通运输局</w:t>
      </w:r>
    </w:p>
    <w:p>
      <w:pPr>
        <w:adjustRightInd w:val="0"/>
        <w:snapToGrid w:val="0"/>
        <w:spacing w:line="580" w:lineRule="exact"/>
        <w:ind w:firstLine="640" w:firstLineChars="200"/>
        <w:jc w:val="center"/>
        <w:rPr>
          <w:rFonts w:ascii="仿宋_GB2312" w:hAnsi="仿宋" w:eastAsia="仿宋_GB2312" w:cs="仿宋"/>
          <w:sz w:val="32"/>
          <w:szCs w:val="32"/>
        </w:rPr>
      </w:pPr>
      <w:r>
        <w:rPr>
          <w:rFonts w:hint="eastAsia" w:ascii="仿宋_GB2312" w:hAnsi="仿宋" w:eastAsia="仿宋_GB2312" w:cs="仿宋"/>
          <w:sz w:val="32"/>
          <w:szCs w:val="32"/>
        </w:rPr>
        <w:t xml:space="preserve">                      2021年11月26日</w:t>
      </w: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60" w:lineRule="exact"/>
        <w:ind w:firstLine="320" w:firstLineChars="100"/>
        <w:rPr>
          <w:rFonts w:hint="eastAsia" w:ascii="仿宋_GB2312" w:hAnsi="仿宋_GB2312" w:eastAsia="仿宋_GB2312"/>
          <w:sz w:val="32"/>
        </w:rPr>
      </w:pPr>
      <w:r>
        <w:rPr>
          <w:rFonts w:hint="eastAsia" w:ascii="仿宋_GB2312" w:eastAsia="仿宋_GB2312"/>
          <w:sz w:val="32"/>
          <w:szCs w:val="32"/>
        </w:rPr>
        <w:t>(联系人：邓誉 ， 联系电话：13862700123)</w:t>
      </w: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p>
    <w:p>
      <w:pPr>
        <w:adjustRightInd w:val="0"/>
        <w:snapToGrid w:val="0"/>
        <w:spacing w:line="580" w:lineRule="exact"/>
        <w:ind w:firstLine="640" w:firstLineChars="200"/>
        <w:jc w:val="center"/>
        <w:rPr>
          <w:rFonts w:hint="eastAsia" w:ascii="仿宋_GB2312" w:hAnsi="仿宋" w:eastAsia="仿宋_GB2312" w:cs="仿宋"/>
          <w:sz w:val="32"/>
          <w:szCs w:val="32"/>
        </w:rPr>
      </w:pPr>
    </w:p>
    <w:p>
      <w:pPr>
        <w:adjustRightInd w:val="0"/>
        <w:snapToGrid w:val="0"/>
        <w:spacing w:line="580" w:lineRule="exact"/>
        <w:ind w:firstLine="640" w:firstLineChars="200"/>
        <w:jc w:val="center"/>
        <w:rPr>
          <w:rFonts w:ascii="仿宋_GB2312" w:hAnsi="仿宋" w:eastAsia="仿宋_GB2312" w:cs="仿宋"/>
          <w:sz w:val="32"/>
          <w:szCs w:val="32"/>
        </w:rPr>
      </w:pPr>
    </w:p>
    <w:p>
      <w:pPr>
        <w:pBdr>
          <w:top w:val="single" w:color="auto" w:sz="4" w:space="1"/>
          <w:bottom w:val="single" w:color="auto" w:sz="4" w:space="1"/>
        </w:pBdr>
        <w:autoSpaceDE w:val="0"/>
        <w:autoSpaceDN w:val="0"/>
        <w:spacing w:line="440" w:lineRule="exact"/>
        <w:jc w:val="center"/>
        <w:rPr>
          <w:rFonts w:ascii="仿宋_GB2312" w:hAnsi="Times New Roman" w:eastAsia="仿宋_GB2312"/>
          <w:kern w:val="0"/>
          <w:sz w:val="28"/>
          <w:szCs w:val="28"/>
        </w:rPr>
      </w:pPr>
      <w:r>
        <w:rPr>
          <w:rFonts w:hint="eastAsia" w:ascii="仿宋_GB2312" w:hAnsi="Times New Roman" w:eastAsia="仿宋_GB2312"/>
          <w:kern w:val="0"/>
          <w:sz w:val="28"/>
          <w:szCs w:val="28"/>
        </w:rPr>
        <w:t>海安市交通运输局办公室                       2021年11月26日印发</w:t>
      </w:r>
    </w:p>
    <w:sectPr>
      <w:footerReference r:id="rId3" w:type="default"/>
      <w:footerReference r:id="rId4" w:type="even"/>
      <w:pgSz w:w="11906" w:h="16838"/>
      <w:pgMar w:top="1701" w:right="1474" w:bottom="1474"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ascii="宋体" w:hAnsi="宋体"/>
        <w:sz w:val="28"/>
        <w:szCs w:val="2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czYjFjMmJkYzVjYjJkMmRhYWQ3MDcyMDAwODdmMDIifQ=="/>
  </w:docVars>
  <w:rsids>
    <w:rsidRoot w:val="00184555"/>
    <w:rsid w:val="000035E8"/>
    <w:rsid w:val="000045CC"/>
    <w:rsid w:val="000168D4"/>
    <w:rsid w:val="000576CF"/>
    <w:rsid w:val="00060D43"/>
    <w:rsid w:val="00086589"/>
    <w:rsid w:val="000A7763"/>
    <w:rsid w:val="000C6C36"/>
    <w:rsid w:val="000D28F6"/>
    <w:rsid w:val="000D31AB"/>
    <w:rsid w:val="0011014D"/>
    <w:rsid w:val="00117B1E"/>
    <w:rsid w:val="00150727"/>
    <w:rsid w:val="001711DD"/>
    <w:rsid w:val="00184555"/>
    <w:rsid w:val="001A2302"/>
    <w:rsid w:val="001A677D"/>
    <w:rsid w:val="0021140A"/>
    <w:rsid w:val="00212AF1"/>
    <w:rsid w:val="002278A1"/>
    <w:rsid w:val="00261B32"/>
    <w:rsid w:val="0027127A"/>
    <w:rsid w:val="0028633C"/>
    <w:rsid w:val="002928D8"/>
    <w:rsid w:val="002D703E"/>
    <w:rsid w:val="002F6C82"/>
    <w:rsid w:val="0031769E"/>
    <w:rsid w:val="00334109"/>
    <w:rsid w:val="0035073C"/>
    <w:rsid w:val="003707A6"/>
    <w:rsid w:val="003752D4"/>
    <w:rsid w:val="00394DF5"/>
    <w:rsid w:val="00394E68"/>
    <w:rsid w:val="003D27DC"/>
    <w:rsid w:val="003D7ECE"/>
    <w:rsid w:val="00400EFE"/>
    <w:rsid w:val="004111DA"/>
    <w:rsid w:val="004437FA"/>
    <w:rsid w:val="00454565"/>
    <w:rsid w:val="00496125"/>
    <w:rsid w:val="004963C6"/>
    <w:rsid w:val="004F4A3C"/>
    <w:rsid w:val="004F5255"/>
    <w:rsid w:val="00532B61"/>
    <w:rsid w:val="00535509"/>
    <w:rsid w:val="005355BE"/>
    <w:rsid w:val="00572025"/>
    <w:rsid w:val="00574E80"/>
    <w:rsid w:val="0059380B"/>
    <w:rsid w:val="005938AF"/>
    <w:rsid w:val="005B4F8E"/>
    <w:rsid w:val="005D3866"/>
    <w:rsid w:val="005D7964"/>
    <w:rsid w:val="005E11B0"/>
    <w:rsid w:val="005E58FD"/>
    <w:rsid w:val="005F37CB"/>
    <w:rsid w:val="00604C4B"/>
    <w:rsid w:val="00607CC5"/>
    <w:rsid w:val="00622A95"/>
    <w:rsid w:val="00630E7C"/>
    <w:rsid w:val="00653F7F"/>
    <w:rsid w:val="0067790E"/>
    <w:rsid w:val="0068219B"/>
    <w:rsid w:val="006A1732"/>
    <w:rsid w:val="006B2888"/>
    <w:rsid w:val="006B5269"/>
    <w:rsid w:val="006C46F0"/>
    <w:rsid w:val="006C6D52"/>
    <w:rsid w:val="006D4172"/>
    <w:rsid w:val="006E06BF"/>
    <w:rsid w:val="006E348D"/>
    <w:rsid w:val="006F2F01"/>
    <w:rsid w:val="006F3838"/>
    <w:rsid w:val="0071686F"/>
    <w:rsid w:val="007511C1"/>
    <w:rsid w:val="00753250"/>
    <w:rsid w:val="00755E24"/>
    <w:rsid w:val="00786B14"/>
    <w:rsid w:val="007A2709"/>
    <w:rsid w:val="007A76A5"/>
    <w:rsid w:val="007B48AB"/>
    <w:rsid w:val="00807BE0"/>
    <w:rsid w:val="00811D9A"/>
    <w:rsid w:val="00820E9A"/>
    <w:rsid w:val="00820FEF"/>
    <w:rsid w:val="0082195A"/>
    <w:rsid w:val="00830EE0"/>
    <w:rsid w:val="008317C6"/>
    <w:rsid w:val="00844D9E"/>
    <w:rsid w:val="00853F09"/>
    <w:rsid w:val="008567C3"/>
    <w:rsid w:val="00863DF8"/>
    <w:rsid w:val="008640CC"/>
    <w:rsid w:val="00871195"/>
    <w:rsid w:val="0087673E"/>
    <w:rsid w:val="0088355F"/>
    <w:rsid w:val="008A4EDA"/>
    <w:rsid w:val="008B593D"/>
    <w:rsid w:val="008B6D70"/>
    <w:rsid w:val="008C5794"/>
    <w:rsid w:val="008C5AEA"/>
    <w:rsid w:val="008E0E64"/>
    <w:rsid w:val="008E661A"/>
    <w:rsid w:val="008F3ECD"/>
    <w:rsid w:val="009205A4"/>
    <w:rsid w:val="009253EF"/>
    <w:rsid w:val="009275A6"/>
    <w:rsid w:val="00976926"/>
    <w:rsid w:val="00990BDB"/>
    <w:rsid w:val="009A7D72"/>
    <w:rsid w:val="009B0864"/>
    <w:rsid w:val="009D061D"/>
    <w:rsid w:val="009D1940"/>
    <w:rsid w:val="009D4993"/>
    <w:rsid w:val="009E48E0"/>
    <w:rsid w:val="00A25759"/>
    <w:rsid w:val="00A30F80"/>
    <w:rsid w:val="00A356A0"/>
    <w:rsid w:val="00A42FFB"/>
    <w:rsid w:val="00A51175"/>
    <w:rsid w:val="00A56DED"/>
    <w:rsid w:val="00A621A2"/>
    <w:rsid w:val="00A64D3A"/>
    <w:rsid w:val="00A73729"/>
    <w:rsid w:val="00A91CEF"/>
    <w:rsid w:val="00AB2F47"/>
    <w:rsid w:val="00AB6357"/>
    <w:rsid w:val="00AC1332"/>
    <w:rsid w:val="00AD2665"/>
    <w:rsid w:val="00AE3D18"/>
    <w:rsid w:val="00AE7804"/>
    <w:rsid w:val="00B10E70"/>
    <w:rsid w:val="00B70C39"/>
    <w:rsid w:val="00B8457B"/>
    <w:rsid w:val="00B87084"/>
    <w:rsid w:val="00B90CE8"/>
    <w:rsid w:val="00B92EEC"/>
    <w:rsid w:val="00BB3286"/>
    <w:rsid w:val="00BB5ECC"/>
    <w:rsid w:val="00BD297D"/>
    <w:rsid w:val="00BD5234"/>
    <w:rsid w:val="00BD5EAF"/>
    <w:rsid w:val="00BF790F"/>
    <w:rsid w:val="00C12431"/>
    <w:rsid w:val="00C22AC3"/>
    <w:rsid w:val="00C2349D"/>
    <w:rsid w:val="00C25F0A"/>
    <w:rsid w:val="00C3621A"/>
    <w:rsid w:val="00C40F1F"/>
    <w:rsid w:val="00C80E84"/>
    <w:rsid w:val="00C8469A"/>
    <w:rsid w:val="00CA0BF5"/>
    <w:rsid w:val="00CA5A0D"/>
    <w:rsid w:val="00CB0E6D"/>
    <w:rsid w:val="00CB41FB"/>
    <w:rsid w:val="00CC1245"/>
    <w:rsid w:val="00CC5843"/>
    <w:rsid w:val="00CC5C1C"/>
    <w:rsid w:val="00D06E91"/>
    <w:rsid w:val="00D16EE8"/>
    <w:rsid w:val="00D42CC5"/>
    <w:rsid w:val="00D435FF"/>
    <w:rsid w:val="00D45CAA"/>
    <w:rsid w:val="00D6125E"/>
    <w:rsid w:val="00D7592F"/>
    <w:rsid w:val="00D76601"/>
    <w:rsid w:val="00D81741"/>
    <w:rsid w:val="00DA3287"/>
    <w:rsid w:val="00DC3444"/>
    <w:rsid w:val="00DC37F9"/>
    <w:rsid w:val="00DC6D7F"/>
    <w:rsid w:val="00DD2448"/>
    <w:rsid w:val="00E0384D"/>
    <w:rsid w:val="00E228CB"/>
    <w:rsid w:val="00E31E1D"/>
    <w:rsid w:val="00E325DB"/>
    <w:rsid w:val="00E340B7"/>
    <w:rsid w:val="00E46CD5"/>
    <w:rsid w:val="00E5028B"/>
    <w:rsid w:val="00E521B2"/>
    <w:rsid w:val="00E621A3"/>
    <w:rsid w:val="00E931C6"/>
    <w:rsid w:val="00E96219"/>
    <w:rsid w:val="00EA1949"/>
    <w:rsid w:val="00EA58C2"/>
    <w:rsid w:val="00EB10DD"/>
    <w:rsid w:val="00ED6B45"/>
    <w:rsid w:val="00EE34C0"/>
    <w:rsid w:val="00EE50EA"/>
    <w:rsid w:val="00EF5DC5"/>
    <w:rsid w:val="00EF7DA5"/>
    <w:rsid w:val="00F074BE"/>
    <w:rsid w:val="00F42D38"/>
    <w:rsid w:val="00F55F7E"/>
    <w:rsid w:val="00F66445"/>
    <w:rsid w:val="00F86ECA"/>
    <w:rsid w:val="00FA76D6"/>
    <w:rsid w:val="00FC02E1"/>
    <w:rsid w:val="00FE1D54"/>
    <w:rsid w:val="00FF0502"/>
    <w:rsid w:val="00FF0C68"/>
    <w:rsid w:val="00FF5E2F"/>
    <w:rsid w:val="00FF6E06"/>
    <w:rsid w:val="607348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semiHidden/>
    <w:unhideWhenUsed/>
    <w:qFormat/>
    <w:uiPriority w:val="99"/>
    <w:pPr>
      <w:spacing w:after="120"/>
    </w:pPr>
  </w:style>
  <w:style w:type="paragraph" w:styleId="3">
    <w:name w:val="Date"/>
    <w:basedOn w:val="1"/>
    <w:next w:val="1"/>
    <w:link w:val="15"/>
    <w:semiHidden/>
    <w:unhideWhenUsed/>
    <w:qFormat/>
    <w:uiPriority w:val="99"/>
    <w:pPr>
      <w:ind w:left="100" w:leftChars="2500"/>
    </w:p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sz w:val="24"/>
      <w:szCs w:val="24"/>
    </w:rPr>
  </w:style>
  <w:style w:type="paragraph" w:styleId="7">
    <w:name w:val="Body Text First Indent"/>
    <w:basedOn w:val="2"/>
    <w:link w:val="17"/>
    <w:qFormat/>
    <w:uiPriority w:val="0"/>
    <w:pPr>
      <w:ind w:firstLine="420" w:firstLineChars="100"/>
    </w:pPr>
    <w:rPr>
      <w:szCs w:val="24"/>
    </w:rPr>
  </w:style>
  <w:style w:type="character" w:customStyle="1" w:styleId="10">
    <w:name w:val="页眉 Char"/>
    <w:basedOn w:val="9"/>
    <w:link w:val="5"/>
    <w:qFormat/>
    <w:locked/>
    <w:uiPriority w:val="99"/>
    <w:rPr>
      <w:rFonts w:cs="Times New Roman"/>
      <w:sz w:val="18"/>
      <w:szCs w:val="18"/>
    </w:rPr>
  </w:style>
  <w:style w:type="character" w:customStyle="1" w:styleId="11">
    <w:name w:val="页脚 Char"/>
    <w:basedOn w:val="9"/>
    <w:link w:val="4"/>
    <w:qFormat/>
    <w:locked/>
    <w:uiPriority w:val="99"/>
    <w:rPr>
      <w:rFonts w:cs="Times New Roman"/>
      <w:sz w:val="18"/>
      <w:szCs w:val="18"/>
    </w:rPr>
  </w:style>
  <w:style w:type="paragraph" w:styleId="12">
    <w:name w:val="List Paragraph"/>
    <w:basedOn w:val="1"/>
    <w:qFormat/>
    <w:uiPriority w:val="99"/>
    <w:pPr>
      <w:ind w:firstLine="420" w:firstLineChars="200"/>
    </w:pPr>
  </w:style>
  <w:style w:type="paragraph" w:styleId="13">
    <w:name w:val="No Spacing"/>
    <w:link w:val="14"/>
    <w:qFormat/>
    <w:uiPriority w:val="1"/>
    <w:rPr>
      <w:rFonts w:ascii="Calibri" w:hAnsi="Calibri" w:eastAsia="宋体" w:cs="Times New Roman"/>
      <w:sz w:val="22"/>
      <w:szCs w:val="22"/>
      <w:lang w:val="en-US" w:eastAsia="zh-CN" w:bidi="ar-SA"/>
    </w:rPr>
  </w:style>
  <w:style w:type="character" w:customStyle="1" w:styleId="14">
    <w:name w:val="无间隔 Char"/>
    <w:basedOn w:val="9"/>
    <w:link w:val="13"/>
    <w:qFormat/>
    <w:uiPriority w:val="1"/>
    <w:rPr>
      <w:sz w:val="22"/>
      <w:szCs w:val="22"/>
      <w:lang w:val="en-US" w:eastAsia="zh-CN" w:bidi="ar-SA"/>
    </w:rPr>
  </w:style>
  <w:style w:type="character" w:customStyle="1" w:styleId="15">
    <w:name w:val="日期 Char"/>
    <w:basedOn w:val="9"/>
    <w:link w:val="3"/>
    <w:semiHidden/>
    <w:qFormat/>
    <w:uiPriority w:val="99"/>
    <w:rPr>
      <w:kern w:val="2"/>
      <w:sz w:val="21"/>
      <w:szCs w:val="22"/>
    </w:rPr>
  </w:style>
  <w:style w:type="character" w:customStyle="1" w:styleId="16">
    <w:name w:val="正文文本 Char"/>
    <w:basedOn w:val="9"/>
    <w:link w:val="2"/>
    <w:semiHidden/>
    <w:qFormat/>
    <w:uiPriority w:val="99"/>
    <w:rPr>
      <w:kern w:val="2"/>
      <w:sz w:val="21"/>
      <w:szCs w:val="22"/>
    </w:rPr>
  </w:style>
  <w:style w:type="character" w:customStyle="1" w:styleId="17">
    <w:name w:val="正文首行缩进 Char"/>
    <w:basedOn w:val="16"/>
    <w:link w:val="7"/>
    <w:qFormat/>
    <w:uiPriority w:val="0"/>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919</Words>
  <Characters>5241</Characters>
  <Lines>43</Lines>
  <Paragraphs>12</Paragraphs>
  <TotalTime>20</TotalTime>
  <ScaleCrop>false</ScaleCrop>
  <LinksUpToDate>false</LinksUpToDate>
  <CharactersWithSpaces>6148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2021-11-26T01:41:00Z</dcterms:created>
  <dc:creator>Administrator</dc:creator>
  <cp:lastModifiedBy>Administrator</cp:lastModifiedBy>
  <cp:lastPrinted>2021-11-26T01:49:00Z</cp:lastPrinted>
  <dcterms:modified xsi:type="dcterms:W3CDTF">2022-06-02T03:16:10Z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1338E146F4054143A12CCC1EB567F465</vt:lpwstr>
  </property>
</Properties>
</file>